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256858</wp:posOffset>
            </wp:positionH>
            <wp:positionV relativeFrom="paragraph">
              <wp:posOffset>0</wp:posOffset>
            </wp:positionV>
            <wp:extent cx="5819775" cy="135255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0"/>
        <w:rPr/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FOURNITURES SCOLAIRES 2020-2021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647383</wp:posOffset>
            </wp:positionH>
            <wp:positionV relativeFrom="paragraph">
              <wp:posOffset>990600</wp:posOffset>
            </wp:positionV>
            <wp:extent cx="724217" cy="1210987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217" cy="12109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1"/>
        <w:jc w:val="both"/>
        <w:rPr/>
      </w:pPr>
      <w:r w:rsidDel="00000000" w:rsidR="00000000" w:rsidRPr="00000000">
        <w:rPr>
          <w:rFonts w:ascii="Shruti" w:cs="Shruti" w:eastAsia="Shruti" w:hAnsi="Shruti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both"/>
        <w:rPr/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ab/>
        <w:t xml:space="preserve">ENSEIGNANT(E) TITULAIRE : Josée Lelièvre et Chanel Rodrigue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ab/>
        <w:tab/>
        <w:t xml:space="preserve">         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NIVEAU : Première année</w:t>
      </w:r>
    </w:p>
    <w:p w:rsidR="00000000" w:rsidDel="00000000" w:rsidP="00000000" w:rsidRDefault="00000000" w:rsidRPr="00000000" w14:paraId="00000008">
      <w:pPr>
        <w:widowControl w:val="1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S’il vous plaît bien identifier tous les objets au nom de votre enfant.</w:t>
      </w:r>
    </w:p>
    <w:p w:rsidR="00000000" w:rsidDel="00000000" w:rsidP="00000000" w:rsidRDefault="00000000" w:rsidRPr="00000000" w14:paraId="00000009">
      <w:pPr>
        <w:widowControl w:val="1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7245"/>
        <w:gridCol w:w="709"/>
        <w:tblGridChange w:id="0">
          <w:tblGrid>
            <w:gridCol w:w="1500"/>
            <w:gridCol w:w="7245"/>
            <w:gridCol w:w="709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sz w:val="28"/>
                <w:szCs w:val="28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15$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Agenda, papier, encre d’imprimante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Étuis à crayon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Paire de ciseaux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Paire d’espadrilles non marquantes pour l’intérieur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Boîte de mouchoirs pour la classe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Bouteille d’eau réutilisable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Sac avec fermeture éclair (pochette de livres)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Boîte à dîner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Couvre-tout ou vieux chandail pour la peinture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Casque d’écoute avec microphone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40$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Matériel acheté par l’enseignant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(détaillé ci-dessous)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Duo-tangs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Boîtes de marqueurs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Boîte de crayons de cire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Boîtes de crayons de couleur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Crayons plomb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Gommes à effacer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Paquets de marqueurs effaçables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Cartables 3’’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Bâtons de colle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Taille-crayon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Cahiers de Hilroy demi-page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Planche à pince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Autre matériel au besoin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Bonnes vacances!</w:t>
      </w:r>
    </w:p>
    <w:sectPr>
      <w:pgSz w:h="15840" w:w="12240"/>
      <w:pgMar w:bottom="1133" w:top="1133" w:left="1133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Shruti"/>
  <w:font w:name="Verdana"/>
  <w:font w:name="Georgia"/>
  <w:font w:name="Symbo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