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jc w:val="center"/>
        <w:rPr>
          <w:rFonts w:ascii="Comic Sans MS" w:cs="Comic Sans MS" w:eastAsia="Comic Sans MS" w:hAnsi="Comic Sans MS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8"/>
          <w:szCs w:val="28"/>
        </w:rPr>
        <w:drawing>
          <wp:inline distB="0" distT="0" distL="0" distR="0">
            <wp:extent cx="5124450" cy="109061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45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9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jc w:val="left"/>
        <w:rPr>
          <w:rFonts w:ascii="Open Sans" w:cs="Open Sans" w:eastAsia="Open Sans" w:hAnsi="Open San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533400</wp:posOffset>
            </wp:positionH>
            <wp:positionV relativeFrom="paragraph">
              <wp:posOffset>47625</wp:posOffset>
            </wp:positionV>
            <wp:extent cx="600937" cy="100926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937" cy="10092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jc w:val="left"/>
        <w:rPr>
          <w:rFonts w:ascii="Open Sans" w:cs="Open Sans" w:eastAsia="Open Sans" w:hAnsi="Open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u w:val="single"/>
          <w:vertAlign w:val="baseline"/>
          <w:rtl w:val="0"/>
        </w:rPr>
        <w:t xml:space="preserve">FOURNITURES SCOLAIRES 201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u w:val="single"/>
          <w:rtl w:val="0"/>
        </w:rPr>
        <w:t xml:space="preserve">9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u w:val="single"/>
          <w:vertAlign w:val="baseline"/>
          <w:rtl w:val="0"/>
        </w:rPr>
        <w:t xml:space="preserve">-20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u w:val="single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ab/>
        <w:tab/>
        <w:tab/>
        <w:t xml:space="preserve">ENSEIGNAN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TS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 TITULAIRES :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M. Philippe Dubois et 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jc w:val="both"/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Mme Taylor Ranni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jc w:val="both"/>
        <w:rPr>
          <w:rFonts w:ascii="Open Sans" w:cs="Open Sans" w:eastAsia="Open Sans" w:hAnsi="Open Sans"/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vertAlign w:val="baseline"/>
          <w:rtl w:val="0"/>
        </w:rPr>
        <w:t xml:space="preserve">NIVEAU :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5e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vertAlign w:val="baseline"/>
          <w:rtl w:val="0"/>
        </w:rPr>
        <w:t xml:space="preserve"> année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720"/>
        <w:rPr>
          <w:rFonts w:ascii="Shruti" w:cs="Shruti" w:eastAsia="Shruti" w:hAnsi="Shrut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8205"/>
        <w:gridCol w:w="735"/>
        <w:tblGridChange w:id="0">
          <w:tblGrid>
            <w:gridCol w:w="1350"/>
            <w:gridCol w:w="8205"/>
            <w:gridCol w:w="735"/>
          </w:tblGrid>
        </w:tblGridChange>
      </w:tblGrid>
      <w:t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sz w:val="28"/>
                <w:szCs w:val="28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sz w:val="28"/>
                <w:szCs w:val="28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15$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Agenda, papier et cartouches d’encre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Habit pour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l’é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ducation physique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Espadrilles non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marquantes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Boîte de mouchoirs pour la classe titulaire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Bouteille d’eau réutilisable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Boite de crayons de couleurs Crayola en bois (24 crayons)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Boite de crayons de couleurs Crayola en cire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Étui à crayon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Gommes à effacer blanches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5"/>
                <w:tab w:val="center" w:pos="1222"/>
              </w:tabs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Marqueurs pour le tableau blanc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Taille-crayons avec réservoir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jc w:val="both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Crayons à mine HB (les aiguiser svp)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 stylos bleus, 2 rouges, 2 noirs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Bâton de colle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Bouteille d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 colle blanche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Sharpie noir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Surligneurs de différentes couleurs (Hi-Liter)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jc w:val="both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Paire de ciseaux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Régle de 30cm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Cartable (reliure) 1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superscript"/>
                <w:rtl w:val="0"/>
              </w:rPr>
              <w:t xml:space="preserve">1/2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pouces avec pochette intérieure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Ensemble de géométrie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Calculatrice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Paquet de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post 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Paquet de diviseur 5 sujets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Cahier Canada (2 x 4 couleurs différentes)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Paquet de 200 feuilles lignées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Paquet de feuilles quadrillées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Paquets de 10 enveloppes transparentes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Pinceaux (arts plastiques)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Cartable (reliure) noir 2 pouces pour anglais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Bescherelles: L’art de conjuguer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Dictionnaire de langue française (Micro-Robert ou Larousse de poche)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Dictionnaire de langue anglais  (Micro-Robert ou Larousse de poche)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right="-20" w:firstLine="0"/>
        <w:jc w:val="center"/>
        <w:rPr>
          <w:rFonts w:ascii="Shruti" w:cs="Shruti" w:eastAsia="Shruti" w:hAnsi="Shruti"/>
        </w:rPr>
      </w:pPr>
      <w:r w:rsidDel="00000000" w:rsidR="00000000" w:rsidRPr="00000000">
        <w:rPr>
          <w:i w:val="1"/>
          <w:rtl w:val="0"/>
        </w:rPr>
        <w:t xml:space="preserve">** Voir à remplacer les crayons de couleur, les gommes à effacer, etc. durant l’année scolaire**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283.46456692913387" w:top="283.4645669291338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hruti"/>
  <w:font w:name="Comic Sans MS"/>
  <w:font w:name="Verdana"/>
  <w:font w:name="Wingding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308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