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ruti" w:cs="Shruti" w:eastAsia="Shruti" w:hAnsi="Shruti"/>
          <w:b w:val="0"/>
          <w:i w:val="0"/>
          <w:sz w:val="28"/>
          <w:szCs w:val="28"/>
          <w:vertAlign w:val="baseline"/>
        </w:rPr>
      </w:pPr>
      <w:r w:rsidDel="00000000" w:rsidR="00000000" w:rsidRPr="00000000">
        <w:rPr/>
        <w:drawing>
          <wp:inline distB="0" distT="0" distL="0" distR="0">
            <wp:extent cx="5943600" cy="13811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baseline"/>
          <w:rtl w:val="0"/>
        </w:rPr>
        <w:t xml:space="preserve">FOURNITURES SCOLAIRES 201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7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baseline"/>
          <w:rtl w:val="0"/>
        </w:rPr>
        <w:t xml:space="preserve">-201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Open Sans" w:cs="Open Sans" w:eastAsia="Open Sans" w:hAnsi="Open San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Shruti" w:cs="Shruti" w:eastAsia="Shruti" w:hAnsi="Shruti"/>
          <w:sz w:val="28"/>
          <w:szCs w:val="28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1333500</wp:posOffset>
            </wp:positionH>
            <wp:positionV relativeFrom="paragraph">
              <wp:posOffset>104775</wp:posOffset>
            </wp:positionV>
            <wp:extent cx="1638300" cy="92075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20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Open Sans" w:cs="Open Sans" w:eastAsia="Open Sans" w:hAnsi="Open Sans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sz w:val="48"/>
          <w:szCs w:val="48"/>
          <w:rtl w:val="0"/>
        </w:rPr>
        <w:t xml:space="preserve">8</w:t>
      </w:r>
      <w:r w:rsidDel="00000000" w:rsidR="00000000" w:rsidRPr="00000000">
        <w:rPr>
          <w:rFonts w:ascii="Open Sans" w:cs="Open Sans" w:eastAsia="Open Sans" w:hAnsi="Open Sans"/>
          <w:sz w:val="48"/>
          <w:szCs w:val="48"/>
          <w:vertAlign w:val="superscript"/>
          <w:rtl w:val="0"/>
        </w:rPr>
        <w:t xml:space="preserve">e</w:t>
      </w:r>
      <w:r w:rsidDel="00000000" w:rsidR="00000000" w:rsidRPr="00000000">
        <w:rPr>
          <w:rFonts w:ascii="Open Sans" w:cs="Open Sans" w:eastAsia="Open Sans" w:hAnsi="Open Sans"/>
          <w:sz w:val="48"/>
          <w:szCs w:val="48"/>
          <w:vertAlign w:val="baseline"/>
          <w:rtl w:val="0"/>
        </w:rPr>
        <w:t xml:space="preserve"> année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b w:val="0"/>
          <w:i w:val="0"/>
          <w:sz w:val="28"/>
          <w:szCs w:val="28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rPr>
          <w:rFonts w:ascii="Shruti" w:cs="Shruti" w:eastAsia="Shruti" w:hAnsi="Shrut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rPr>
          <w:rFonts w:ascii="Shruti" w:cs="Shruti" w:eastAsia="Shruti" w:hAnsi="Shrut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-3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8130"/>
        <w:gridCol w:w="660"/>
        <w:tblGridChange w:id="0">
          <w:tblGrid>
            <w:gridCol w:w="1440"/>
            <w:gridCol w:w="8130"/>
            <w:gridCol w:w="660"/>
          </w:tblGrid>
        </w:tblGridChange>
      </w:tblGrid>
      <w:t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15$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Agenda, papier et cartouches d’encre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Cadenas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Boîtes de mouchoirs pour la classe titulaire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Clé mémoire 4go.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1" w:firstLine="0"/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Bouteille d’eau réutilisable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shd w:fill="cfe2f3" w:val="clear"/>
          </w:tcPr>
          <w:p w:rsidR="00000000" w:rsidDel="00000000" w:rsidP="00000000" w:rsidRDefault="00000000" w:rsidRPr="00000000" w14:paraId="0000001C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Shruti" w:cs="Shruti" w:eastAsia="Shruti" w:hAnsi="Shruti"/>
                <w:b w:val="1"/>
                <w:rtl w:val="0"/>
              </w:rPr>
              <w:t xml:space="preserve">SCIENCES HUMAINES, DPS, TECHNOLOGIE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2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540" w:firstLine="0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        Paquets de feuilles mobiles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Gomme à effacer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Paquet de séparateurs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5"/>
                <w:tab w:val="center" w:pos="1222"/>
              </w:tabs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Stylos rouges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Duo tangs: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DPS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 (noir et jaune),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Technologie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 (bleu),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ciences humaines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(vert)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Feuilles amovibles (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« post-its »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Crayons 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Surligneur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Aiguiseur à crayons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vertAlign w:val="baseline"/>
                <w:rtl w:val="0"/>
              </w:rPr>
              <w:t xml:space="preserve">FRANÇAIS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Bescherelle (obligatoire)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Dictionnaire de langue française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Cartable à anneau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Paquet de séparateurs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vertAlign w:val="baseline"/>
                <w:rtl w:val="0"/>
              </w:rPr>
              <w:t xml:space="preserve">ANGLAIS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Feuilles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 amovibles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vertAlign w:val="baseline"/>
                <w:rtl w:val="0"/>
              </w:rPr>
              <w:t xml:space="preserve">(« post-its 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Paquets de feuilles mobiles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Cartable exclusivement pour le cours d’anglais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Paquet de séparateurs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MATHÉMATIQUES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Cahiers Hilroy ( 32 pages)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Efface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Règle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Crayons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Ensemble mathématiques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Calculatrice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shd w:fill="cfe2f3" w:val="clear"/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SCIENCES NATURELLES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Paquets de feuilles mobiles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Duotangs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vertAlign w:val="baseline"/>
                <w:rtl w:val="0"/>
              </w:rPr>
              <w:t xml:space="preserve">ARTS PLASTIQUES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Carnet de papier à dessin sans acide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(50 pages – 279 mm X 356 mm)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Journal de bord (style de ton choix)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Crayons à dessin (4B, 2B, HB, 2H, 4H)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Pinceau rond #3 (1,5 cm)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Pinceau plat (1,5 cm)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Boîte de pastels gras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Boîte de crayons en bois de couleurs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Règle en métal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Bâton à c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olle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vertAlign w:val="baseline"/>
                <w:rtl w:val="0"/>
              </w:rPr>
              <w:t xml:space="preserve">ÉDUCATION PHYSIQUE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Habit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Espadrilles non-marquantes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ruti" w:cs="Shruti" w:eastAsia="Shruti" w:hAnsi="Shrut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hruti"/>
  <w:font w:name="Comic Sans MS"/>
  <w:font w:name="Trebuchet MS"/>
  <w:font w:name="Times New Roman"/>
  <w:font w:name="Arial"/>
  <w:font w:name="Wingding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308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