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</w:rPr>
        <w:drawing>
          <wp:inline distB="0" distT="0" distL="0" distR="0">
            <wp:extent cx="5820638" cy="13551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0638" cy="1355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</wp:posOffset>
            </wp:positionH>
            <wp:positionV relativeFrom="paragraph">
              <wp:posOffset>1381125</wp:posOffset>
            </wp:positionV>
            <wp:extent cx="742088" cy="124701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088" cy="1247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jc w:val="left"/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 xml:space="preserve">ENSEIGNANT(E) TITULAIRE : Mme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Tara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NIVEAU :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e année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S’il vous plait bien identifier tous les objets au nom de votre enfant. (Sauf les duo-tangs qui seront séparés par couleur).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7620"/>
        <w:gridCol w:w="615"/>
        <w:tblGridChange w:id="0">
          <w:tblGrid>
            <w:gridCol w:w="1350"/>
            <w:gridCol w:w="7620"/>
            <w:gridCol w:w="61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15$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Agenda, papier et cartouches d’encre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Habit pour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ducation physique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Espadrilles non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marquantes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Boîtes de mouchoirs pour la classe titulaire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Bouteille d’eau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Boite de pansements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Boite de crayons de couleurs Crayola en bois (24 crayons)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Boite de crayons de couleurs Crayola en cire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Boite de marqueurs Crayola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Marqueurs pour le tableau 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Taille-crayons avec réservoir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 à crayons (Pas de boite)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Gommes à effacer blanches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Crayons à mine HB (les aiguiser 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Gros bâtons de colle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Bouteille de colle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Paire de ciseaux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Cartable (reliure) 2 pouces (pochette transparente sur le dessus)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 avec fermeture éclair (pochette de livres)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Cahiers Hilroy 80 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Cahiers Hilroy 72 p. Uni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Reliure (duo-tangs) à trois trous en plastique avec 2 pochettes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Reliures (duo-tangs) à trois trous. (1 vert, 1 rouge, 1 bleu)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Planche à pince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Clip board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(suggestion - Dollarama)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Sharpies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noirs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Couvre-tout ou vieille chemise pour peinturer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Shruti" w:cs="Shruti" w:eastAsia="Shruti" w:hAnsi="Shrut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Arial"/>
  <w:font w:name="Times New Roman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